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BF66" w14:textId="202F8947" w:rsidR="003556E5" w:rsidRPr="00DD2A18" w:rsidRDefault="003556E5" w:rsidP="003556E5">
      <w:pPr>
        <w:rPr>
          <w:b/>
        </w:rPr>
      </w:pPr>
      <w:r w:rsidRPr="00DD2A18">
        <w:rPr>
          <w:b/>
        </w:rPr>
        <w:t>Anderson/ENGL 102-</w:t>
      </w:r>
      <w:r>
        <w:rPr>
          <w:b/>
        </w:rPr>
        <w:t>048</w:t>
      </w:r>
    </w:p>
    <w:p w14:paraId="1D5E9688" w14:textId="77777777" w:rsidR="003556E5" w:rsidRPr="00DD2A18" w:rsidRDefault="003556E5" w:rsidP="003556E5">
      <w:pPr>
        <w:rPr>
          <w:b/>
        </w:rPr>
      </w:pPr>
      <w:r w:rsidRPr="00DD2A18">
        <w:rPr>
          <w:b/>
        </w:rPr>
        <w:t>Homework for T</w:t>
      </w:r>
      <w:r>
        <w:rPr>
          <w:b/>
        </w:rPr>
        <w:t>hur</w:t>
      </w:r>
      <w:r w:rsidRPr="00DD2A18">
        <w:rPr>
          <w:b/>
        </w:rPr>
        <w:t xml:space="preserve">sday, February </w:t>
      </w:r>
      <w:r>
        <w:rPr>
          <w:b/>
        </w:rPr>
        <w:t>3</w:t>
      </w:r>
    </w:p>
    <w:p w14:paraId="50C1973A" w14:textId="77777777" w:rsidR="003556E5" w:rsidRDefault="003556E5" w:rsidP="003556E5"/>
    <w:p w14:paraId="2DD37246" w14:textId="77777777" w:rsidR="003556E5" w:rsidRDefault="003556E5" w:rsidP="003556E5"/>
    <w:p w14:paraId="1E22FE17" w14:textId="31BA305C" w:rsidR="003556E5" w:rsidRDefault="003556E5" w:rsidP="003556E5">
      <w:pPr>
        <w:tabs>
          <w:tab w:val="left" w:pos="0"/>
          <w:tab w:val="left" w:pos="11520"/>
        </w:tabs>
        <w:spacing w:line="360" w:lineRule="auto"/>
        <w:jc w:val="both"/>
        <w:rPr>
          <w:bCs/>
        </w:rPr>
      </w:pPr>
      <w:r w:rsidRPr="00DD2A18">
        <w:rPr>
          <w:bCs/>
        </w:rPr>
        <w:t xml:space="preserve">Please </w:t>
      </w:r>
      <w:r>
        <w:rPr>
          <w:bCs/>
        </w:rPr>
        <w:t xml:space="preserve">finish </w:t>
      </w:r>
      <w:r w:rsidRPr="00DD2A18">
        <w:rPr>
          <w:bCs/>
        </w:rPr>
        <w:t>read</w:t>
      </w:r>
      <w:r>
        <w:rPr>
          <w:bCs/>
        </w:rPr>
        <w:t>ing</w:t>
      </w:r>
      <w:r w:rsidRPr="00DD2A18">
        <w:rPr>
          <w:bCs/>
        </w:rPr>
        <w:t xml:space="preserve"> </w:t>
      </w:r>
      <w:r>
        <w:rPr>
          <w:bCs/>
        </w:rPr>
        <w:t xml:space="preserve">Chapter 1 of </w:t>
      </w:r>
      <w:r w:rsidRPr="00DD2A18">
        <w:rPr>
          <w:bCs/>
        </w:rPr>
        <w:t xml:space="preserve">Cornelius </w:t>
      </w:r>
      <w:proofErr w:type="spellStart"/>
      <w:r w:rsidRPr="00DD2A18">
        <w:rPr>
          <w:bCs/>
        </w:rPr>
        <w:t>Eady’s</w:t>
      </w:r>
      <w:proofErr w:type="spellEnd"/>
      <w:r w:rsidRPr="00DD2A18">
        <w:rPr>
          <w:bCs/>
        </w:rPr>
        <w:t xml:space="preserve"> </w:t>
      </w:r>
      <w:r w:rsidRPr="00DD2A18">
        <w:rPr>
          <w:bCs/>
          <w:i/>
        </w:rPr>
        <w:t>Brutal Imagination</w:t>
      </w:r>
      <w:r w:rsidRPr="00DD2A18">
        <w:rPr>
          <w:bCs/>
        </w:rPr>
        <w:t xml:space="preserve">. Through poetry, </w:t>
      </w:r>
      <w:proofErr w:type="spellStart"/>
      <w:r w:rsidRPr="00DD2A18">
        <w:rPr>
          <w:bCs/>
        </w:rPr>
        <w:t>Eady</w:t>
      </w:r>
      <w:proofErr w:type="spellEnd"/>
      <w:r w:rsidRPr="00DD2A18">
        <w:rPr>
          <w:bCs/>
        </w:rPr>
        <w:t xml:space="preserve"> has used the real event of Susan Smith, who murdered her two children</w:t>
      </w:r>
      <w:r>
        <w:rPr>
          <w:bCs/>
        </w:rPr>
        <w:t xml:space="preserve"> in 1994</w:t>
      </w:r>
      <w:r w:rsidRPr="00DD2A18">
        <w:rPr>
          <w:bCs/>
        </w:rPr>
        <w:t xml:space="preserve">, to bring to life the voice of the man Smith claimed abducted her: a black man she </w:t>
      </w:r>
      <w:r w:rsidRPr="00DD2A18">
        <w:rPr>
          <w:bCs/>
          <w:i/>
        </w:rPr>
        <w:t>invented</w:t>
      </w:r>
      <w:r w:rsidRPr="00DD2A18">
        <w:rPr>
          <w:bCs/>
        </w:rPr>
        <w:t xml:space="preserve"> to cover up her crime. The poems are to be read </w:t>
      </w:r>
      <w:proofErr w:type="gramStart"/>
      <w:r w:rsidRPr="00DD2A18">
        <w:rPr>
          <w:bCs/>
        </w:rPr>
        <w:t>as a whole from</w:t>
      </w:r>
      <w:proofErr w:type="gramEnd"/>
      <w:r w:rsidRPr="00DD2A18">
        <w:rPr>
          <w:bCs/>
        </w:rPr>
        <w:t xml:space="preserve"> beginning to end</w:t>
      </w:r>
      <w:r>
        <w:rPr>
          <w:bCs/>
        </w:rPr>
        <w:t xml:space="preserve"> but we will take them by chapter</w:t>
      </w:r>
      <w:r w:rsidRPr="00DD2A18">
        <w:rPr>
          <w:bCs/>
        </w:rPr>
        <w:t>. Read them through once, take a break and then read it again. On this second reading, mark places in the text you think are significant or where you have questions. When you have finished, use a double-entry journal</w:t>
      </w:r>
      <w:r>
        <w:rPr>
          <w:bCs/>
        </w:rPr>
        <w:t xml:space="preserve"> (DEJ)</w:t>
      </w:r>
      <w:r w:rsidRPr="00DD2A18">
        <w:rPr>
          <w:bCs/>
        </w:rPr>
        <w:t xml:space="preserve"> to respond to the reading. </w:t>
      </w:r>
      <w:r>
        <w:rPr>
          <w:bCs/>
        </w:rPr>
        <w:t>You should have 6-8 entries in this journal. (We discussed the DEJ in class and there is a review on the back of this assignment.)</w:t>
      </w:r>
    </w:p>
    <w:p w14:paraId="5AE2E9DF" w14:textId="77777777" w:rsidR="003556E5" w:rsidRDefault="003556E5" w:rsidP="003556E5">
      <w:pPr>
        <w:tabs>
          <w:tab w:val="left" w:pos="0"/>
          <w:tab w:val="left" w:pos="11520"/>
        </w:tabs>
        <w:spacing w:line="360" w:lineRule="auto"/>
        <w:jc w:val="both"/>
        <w:rPr>
          <w:bCs/>
        </w:rPr>
      </w:pPr>
    </w:p>
    <w:p w14:paraId="23D3B7FB" w14:textId="3F7A88E7" w:rsidR="003556E5" w:rsidRPr="00DD2A18" w:rsidRDefault="003556E5" w:rsidP="003556E5">
      <w:pPr>
        <w:tabs>
          <w:tab w:val="left" w:pos="0"/>
          <w:tab w:val="left" w:pos="11520"/>
        </w:tabs>
        <w:spacing w:line="360" w:lineRule="auto"/>
        <w:jc w:val="both"/>
        <w:rPr>
          <w:bCs/>
        </w:rPr>
      </w:pPr>
      <w:r w:rsidRPr="00DD2A18">
        <w:rPr>
          <w:bCs/>
        </w:rPr>
        <w:t>Bring all this work to class on T</w:t>
      </w:r>
      <w:r>
        <w:rPr>
          <w:bCs/>
        </w:rPr>
        <w:t>hur</w:t>
      </w:r>
      <w:r w:rsidRPr="00DD2A18">
        <w:rPr>
          <w:bCs/>
        </w:rPr>
        <w:t>sday.</w:t>
      </w:r>
    </w:p>
    <w:p w14:paraId="45224C92" w14:textId="3F1E0E5C" w:rsidR="009D7DBF" w:rsidRDefault="009D7DBF"/>
    <w:p w14:paraId="7F19AE9E" w14:textId="174CE361" w:rsidR="003556E5" w:rsidRDefault="003556E5">
      <w:r>
        <w:br w:type="page"/>
      </w:r>
    </w:p>
    <w:p w14:paraId="06FB96E5" w14:textId="77777777" w:rsidR="003556E5" w:rsidRPr="000B21C7" w:rsidRDefault="003556E5" w:rsidP="003556E5">
      <w:pPr>
        <w:spacing w:before="100" w:beforeAutospacing="1" w:after="100" w:afterAutospacing="1"/>
        <w:jc w:val="center"/>
        <w:rPr>
          <w:rFonts w:eastAsia="Times New Roman" w:cs="Arial"/>
          <w:b/>
          <w:bCs/>
          <w:szCs w:val="24"/>
        </w:rPr>
      </w:pPr>
      <w:r w:rsidRPr="000B21C7">
        <w:rPr>
          <w:rFonts w:eastAsia="Times New Roman" w:cs="Arial"/>
          <w:b/>
          <w:bCs/>
          <w:szCs w:val="24"/>
        </w:rPr>
        <w:lastRenderedPageBreak/>
        <w:t>DOUBLE ENTRY JOURNAL (DEJ)</w:t>
      </w:r>
    </w:p>
    <w:p w14:paraId="7CD882D1" w14:textId="77777777" w:rsidR="003556E5" w:rsidRPr="000B21C7" w:rsidRDefault="003556E5" w:rsidP="003556E5">
      <w:pPr>
        <w:spacing w:before="100" w:beforeAutospacing="1" w:after="100" w:afterAutospacing="1"/>
        <w:rPr>
          <w:rFonts w:eastAsia="Times New Roman"/>
          <w:szCs w:val="24"/>
        </w:rPr>
      </w:pPr>
      <w:proofErr w:type="gramStart"/>
      <w:r>
        <w:rPr>
          <w:rFonts w:eastAsia="Times New Roman" w:cs="Arial"/>
          <w:bCs/>
          <w:szCs w:val="24"/>
        </w:rPr>
        <w:t xml:space="preserve">A </w:t>
      </w:r>
      <w:r w:rsidRPr="000B21C7">
        <w:rPr>
          <w:rFonts w:eastAsia="Times New Roman" w:cs="Arial"/>
          <w:bCs/>
          <w:szCs w:val="24"/>
        </w:rPr>
        <w:t xml:space="preserve"> DOUBLE</w:t>
      </w:r>
      <w:proofErr w:type="gramEnd"/>
      <w:r w:rsidRPr="000B21C7">
        <w:rPr>
          <w:rFonts w:eastAsia="Times New Roman" w:cs="Arial"/>
          <w:bCs/>
          <w:szCs w:val="24"/>
        </w:rPr>
        <w:t>-ENTRY JOURNAL allows you to have a conversation with the author of a text. It can be used for many purposes, from getting more deeply into the text or passages from it for class discussion or short assignments all the way to generating ideas for analytical papers.</w:t>
      </w:r>
      <w:r>
        <w:rPr>
          <w:rFonts w:eastAsia="Times New Roman" w:cs="Arial"/>
          <w:bCs/>
          <w:szCs w:val="24"/>
        </w:rPr>
        <w:t xml:space="preserve"> A </w:t>
      </w:r>
      <w:r w:rsidRPr="000B21C7">
        <w:rPr>
          <w:rFonts w:eastAsia="Times New Roman" w:cs="Arial"/>
          <w:bCs/>
          <w:szCs w:val="24"/>
        </w:rPr>
        <w:t>DOUBLE-ENTRY JOURNAL</w:t>
      </w:r>
      <w:r>
        <w:rPr>
          <w:rFonts w:eastAsia="Times New Roman" w:cs="Arial"/>
          <w:bCs/>
          <w:szCs w:val="24"/>
        </w:rPr>
        <w:t xml:space="preserve"> is also a useful way to take notes in class or during a lecture. It allows you to observe and learn about your own thinking—the kinds of connections you make, the questions you ask, the ways in which you make meaning as you think about the things you read and hear.</w:t>
      </w:r>
    </w:p>
    <w:p w14:paraId="191F8288" w14:textId="77777777" w:rsidR="003556E5" w:rsidRPr="000B21C7" w:rsidRDefault="003556E5" w:rsidP="003556E5">
      <w:pPr>
        <w:spacing w:before="100" w:beforeAutospacing="1" w:after="100" w:afterAutospacing="1"/>
        <w:rPr>
          <w:rFonts w:eastAsia="Times New Roman"/>
          <w:szCs w:val="24"/>
        </w:rPr>
      </w:pPr>
      <w:r w:rsidRPr="000B21C7">
        <w:rPr>
          <w:rFonts w:eastAsia="Times New Roman" w:cs="Arial"/>
          <w:bCs/>
          <w:szCs w:val="24"/>
        </w:rPr>
        <w:t xml:space="preserve">You can format your journal by drawing a line down the center of a page or folding the page in half (though it’s better to use facing pages, which will give you more room to write) or, on computer, as below, creating a table with one row and two columns. </w:t>
      </w:r>
    </w:p>
    <w:p w14:paraId="68DF5446" w14:textId="77777777" w:rsidR="003556E5" w:rsidRPr="000B21C7" w:rsidRDefault="003556E5" w:rsidP="003556E5">
      <w:pPr>
        <w:spacing w:before="100" w:beforeAutospacing="1" w:after="100" w:afterAutospacing="1"/>
        <w:rPr>
          <w:rFonts w:eastAsia="Times New Roman"/>
          <w:szCs w:val="24"/>
        </w:rPr>
      </w:pPr>
      <w:r w:rsidRPr="000B21C7">
        <w:rPr>
          <w:rFonts w:eastAsia="Times New Roman" w:cs="Arial"/>
          <w:bCs/>
          <w:szCs w:val="24"/>
        </w:rPr>
        <w:t>Below are several, but by no means all, ways to use a DOUBLE-ENTRY JOURNAL</w:t>
      </w:r>
      <w:r>
        <w:rPr>
          <w:rFonts w:eastAsia="Times New Roman" w:cs="Arial"/>
          <w:bCs/>
          <w:szCs w:val="24"/>
        </w:rPr>
        <w:t xml:space="preserve"> for reading</w:t>
      </w:r>
      <w:r w:rsidRPr="000B21C7">
        <w:rPr>
          <w:rFonts w:eastAsia="Times New Roman" w:cs="Arial"/>
          <w:bCs/>
          <w:szCs w:val="24"/>
        </w:rPr>
        <w:t>.</w:t>
      </w:r>
    </w:p>
    <w:tbl>
      <w:tblPr>
        <w:tblW w:w="5689" w:type="pct"/>
        <w:jc w:val="center"/>
        <w:tblCellMar>
          <w:left w:w="0" w:type="dxa"/>
          <w:right w:w="0" w:type="dxa"/>
        </w:tblCellMar>
        <w:tblLook w:val="04A0" w:firstRow="1" w:lastRow="0" w:firstColumn="1" w:lastColumn="0" w:noHBand="0" w:noVBand="1"/>
      </w:tblPr>
      <w:tblGrid>
        <w:gridCol w:w="4449"/>
        <w:gridCol w:w="6148"/>
      </w:tblGrid>
      <w:tr w:rsidR="003556E5" w:rsidRPr="000B21C7" w14:paraId="61E6E49D" w14:textId="77777777" w:rsidTr="00C93FDE">
        <w:trPr>
          <w:trHeight w:val="330"/>
          <w:jc w:val="center"/>
        </w:trPr>
        <w:tc>
          <w:tcPr>
            <w:tcW w:w="4449" w:type="dxa"/>
            <w:tcBorders>
              <w:top w:val="double" w:sz="6" w:space="0" w:color="auto"/>
              <w:left w:val="double" w:sz="6" w:space="0" w:color="auto"/>
              <w:bottom w:val="double" w:sz="6" w:space="0" w:color="auto"/>
              <w:right w:val="double" w:sz="6" w:space="0" w:color="auto"/>
            </w:tcBorders>
            <w:tcMar>
              <w:top w:w="0" w:type="dxa"/>
              <w:left w:w="108" w:type="dxa"/>
              <w:bottom w:w="0" w:type="dxa"/>
              <w:right w:w="108" w:type="dxa"/>
            </w:tcMar>
            <w:hideMark/>
          </w:tcPr>
          <w:p w14:paraId="5AB0FC76" w14:textId="77777777" w:rsidR="003556E5" w:rsidRPr="000B21C7" w:rsidRDefault="003556E5" w:rsidP="00C93FDE">
            <w:pPr>
              <w:spacing w:before="100" w:beforeAutospacing="1" w:after="100" w:afterAutospacing="1"/>
              <w:jc w:val="center"/>
              <w:rPr>
                <w:rFonts w:eastAsia="Times New Roman"/>
                <w:szCs w:val="24"/>
              </w:rPr>
            </w:pPr>
            <w:r w:rsidRPr="000B21C7">
              <w:rPr>
                <w:rFonts w:eastAsia="Times New Roman"/>
                <w:bCs/>
                <w:szCs w:val="24"/>
              </w:rPr>
              <w:t>Left-Hand Side</w:t>
            </w:r>
          </w:p>
        </w:tc>
        <w:tc>
          <w:tcPr>
            <w:tcW w:w="6148" w:type="dxa"/>
            <w:tcBorders>
              <w:top w:val="double" w:sz="6" w:space="0" w:color="auto"/>
              <w:left w:val="nil"/>
              <w:bottom w:val="double" w:sz="6" w:space="0" w:color="auto"/>
              <w:right w:val="double" w:sz="6" w:space="0" w:color="auto"/>
            </w:tcBorders>
            <w:tcMar>
              <w:top w:w="0" w:type="dxa"/>
              <w:left w:w="108" w:type="dxa"/>
              <w:bottom w:w="0" w:type="dxa"/>
              <w:right w:w="108" w:type="dxa"/>
            </w:tcMar>
            <w:hideMark/>
          </w:tcPr>
          <w:p w14:paraId="52D21E72" w14:textId="77777777" w:rsidR="003556E5" w:rsidRPr="000B21C7" w:rsidRDefault="003556E5" w:rsidP="00C93FDE">
            <w:pPr>
              <w:spacing w:before="100" w:beforeAutospacing="1" w:after="100" w:afterAutospacing="1"/>
              <w:jc w:val="center"/>
              <w:rPr>
                <w:rFonts w:eastAsia="Times New Roman"/>
                <w:szCs w:val="24"/>
              </w:rPr>
            </w:pPr>
            <w:r w:rsidRPr="000B21C7">
              <w:rPr>
                <w:rFonts w:eastAsia="Times New Roman"/>
                <w:bCs/>
                <w:szCs w:val="24"/>
              </w:rPr>
              <w:t>Right-Hand Side</w:t>
            </w:r>
          </w:p>
        </w:tc>
      </w:tr>
      <w:tr w:rsidR="003556E5" w:rsidRPr="000B21C7" w14:paraId="0AF96797" w14:textId="77777777" w:rsidTr="00C93FDE">
        <w:trPr>
          <w:trHeight w:val="750"/>
          <w:jc w:val="center"/>
        </w:trPr>
        <w:tc>
          <w:tcPr>
            <w:tcW w:w="4449" w:type="dxa"/>
            <w:tcBorders>
              <w:top w:val="nil"/>
              <w:left w:val="double" w:sz="6" w:space="0" w:color="auto"/>
              <w:bottom w:val="double" w:sz="6" w:space="0" w:color="auto"/>
              <w:right w:val="double" w:sz="6" w:space="0" w:color="auto"/>
            </w:tcBorders>
            <w:tcMar>
              <w:top w:w="0" w:type="dxa"/>
              <w:left w:w="108" w:type="dxa"/>
              <w:bottom w:w="0" w:type="dxa"/>
              <w:right w:w="108" w:type="dxa"/>
            </w:tcMar>
            <w:hideMark/>
          </w:tcPr>
          <w:p w14:paraId="71DD35C5" w14:textId="77777777" w:rsidR="003556E5" w:rsidRPr="000B21C7" w:rsidRDefault="003556E5" w:rsidP="00C93FDE">
            <w:pPr>
              <w:spacing w:before="100" w:beforeAutospacing="1" w:after="100" w:afterAutospacing="1"/>
              <w:rPr>
                <w:rFonts w:eastAsia="Times New Roman"/>
                <w:szCs w:val="24"/>
              </w:rPr>
            </w:pPr>
            <w:r w:rsidRPr="000B21C7">
              <w:rPr>
                <w:rFonts w:eastAsia="Times New Roman"/>
                <w:bCs/>
                <w:szCs w:val="24"/>
              </w:rPr>
              <w:t>Quote from the text with page number.</w:t>
            </w:r>
          </w:p>
        </w:tc>
        <w:tc>
          <w:tcPr>
            <w:tcW w:w="6148" w:type="dxa"/>
            <w:tcBorders>
              <w:top w:val="nil"/>
              <w:left w:val="nil"/>
              <w:bottom w:val="double" w:sz="6" w:space="0" w:color="auto"/>
              <w:right w:val="double" w:sz="6" w:space="0" w:color="auto"/>
            </w:tcBorders>
            <w:tcMar>
              <w:top w:w="0" w:type="dxa"/>
              <w:left w:w="108" w:type="dxa"/>
              <w:bottom w:w="0" w:type="dxa"/>
              <w:right w:w="108" w:type="dxa"/>
            </w:tcMar>
            <w:hideMark/>
          </w:tcPr>
          <w:p w14:paraId="4E64C57F" w14:textId="77777777" w:rsidR="003556E5" w:rsidRPr="000B21C7" w:rsidRDefault="003556E5" w:rsidP="00C93FDE">
            <w:pPr>
              <w:spacing w:before="100" w:beforeAutospacing="1" w:after="100" w:afterAutospacing="1"/>
              <w:rPr>
                <w:rFonts w:eastAsia="Times New Roman"/>
                <w:szCs w:val="24"/>
              </w:rPr>
            </w:pPr>
            <w:r w:rsidRPr="000B21C7">
              <w:rPr>
                <w:rFonts w:eastAsia="Times New Roman"/>
                <w:bCs/>
                <w:szCs w:val="24"/>
              </w:rPr>
              <w:t>Visual commentary (drawings, visual analogies, doodles)</w:t>
            </w:r>
          </w:p>
        </w:tc>
      </w:tr>
      <w:tr w:rsidR="003556E5" w:rsidRPr="000B21C7" w14:paraId="759E2BA9" w14:textId="77777777" w:rsidTr="00C93FDE">
        <w:trPr>
          <w:trHeight w:val="1635"/>
          <w:jc w:val="center"/>
        </w:trPr>
        <w:tc>
          <w:tcPr>
            <w:tcW w:w="4449" w:type="dxa"/>
            <w:tcBorders>
              <w:top w:val="nil"/>
              <w:left w:val="double" w:sz="6" w:space="0" w:color="auto"/>
              <w:bottom w:val="double" w:sz="6" w:space="0" w:color="auto"/>
              <w:right w:val="double" w:sz="6" w:space="0" w:color="auto"/>
            </w:tcBorders>
            <w:tcMar>
              <w:top w:w="0" w:type="dxa"/>
              <w:left w:w="108" w:type="dxa"/>
              <w:bottom w:w="0" w:type="dxa"/>
              <w:right w:w="108" w:type="dxa"/>
            </w:tcMar>
            <w:hideMark/>
          </w:tcPr>
          <w:p w14:paraId="1D07C627" w14:textId="77777777" w:rsidR="003556E5" w:rsidRPr="000B21C7" w:rsidRDefault="003556E5" w:rsidP="00C93FDE">
            <w:pPr>
              <w:spacing w:before="100" w:beforeAutospacing="1" w:after="100" w:afterAutospacing="1"/>
              <w:rPr>
                <w:rFonts w:eastAsia="Times New Roman"/>
                <w:szCs w:val="24"/>
              </w:rPr>
            </w:pPr>
            <w:r w:rsidRPr="000B21C7">
              <w:rPr>
                <w:rFonts w:eastAsia="Times New Roman"/>
                <w:bCs/>
                <w:szCs w:val="24"/>
              </w:rPr>
              <w:t>Quote from the text with page number</w:t>
            </w:r>
          </w:p>
        </w:tc>
        <w:tc>
          <w:tcPr>
            <w:tcW w:w="6148" w:type="dxa"/>
            <w:tcBorders>
              <w:top w:val="nil"/>
              <w:left w:val="nil"/>
              <w:bottom w:val="double" w:sz="6" w:space="0" w:color="auto"/>
              <w:right w:val="double" w:sz="6" w:space="0" w:color="auto"/>
            </w:tcBorders>
            <w:tcMar>
              <w:top w:w="0" w:type="dxa"/>
              <w:left w:w="108" w:type="dxa"/>
              <w:bottom w:w="0" w:type="dxa"/>
              <w:right w:w="108" w:type="dxa"/>
            </w:tcMar>
            <w:hideMark/>
          </w:tcPr>
          <w:p w14:paraId="4E4985C8" w14:textId="77777777" w:rsidR="003556E5" w:rsidRPr="000B21C7" w:rsidRDefault="003556E5" w:rsidP="00C93FDE">
            <w:pPr>
              <w:spacing w:before="100" w:beforeAutospacing="1" w:after="100" w:afterAutospacing="1"/>
              <w:rPr>
                <w:rFonts w:eastAsia="Times New Roman"/>
                <w:szCs w:val="24"/>
              </w:rPr>
            </w:pPr>
            <w:r w:rsidRPr="000B21C7">
              <w:rPr>
                <w:rFonts w:eastAsia="Times New Roman"/>
                <w:bCs/>
                <w:szCs w:val="24"/>
              </w:rPr>
              <w:t xml:space="preserve">Reactions (“This bugs, annoys, </w:t>
            </w:r>
            <w:proofErr w:type="gramStart"/>
            <w:r w:rsidRPr="000B21C7">
              <w:rPr>
                <w:rFonts w:eastAsia="Times New Roman"/>
                <w:bCs/>
                <w:szCs w:val="24"/>
              </w:rPr>
              <w:t>moves  . . .</w:t>
            </w:r>
            <w:proofErr w:type="gramEnd"/>
            <w:r w:rsidRPr="000B21C7">
              <w:rPr>
                <w:rFonts w:eastAsia="Times New Roman"/>
                <w:bCs/>
                <w:szCs w:val="24"/>
              </w:rPr>
              <w:t xml:space="preserve"> me because . . .”), reflections (”I wonder if. . .”), musings (“Hmmm…”), questions (“I wonder why…”) with possible answers (“Maybe because . . .”)</w:t>
            </w:r>
          </w:p>
        </w:tc>
      </w:tr>
      <w:tr w:rsidR="003556E5" w:rsidRPr="000B21C7" w14:paraId="388D57DA" w14:textId="77777777" w:rsidTr="00C93FDE">
        <w:trPr>
          <w:trHeight w:val="15"/>
          <w:jc w:val="center"/>
        </w:trPr>
        <w:tc>
          <w:tcPr>
            <w:tcW w:w="4449" w:type="dxa"/>
            <w:tcBorders>
              <w:top w:val="nil"/>
              <w:left w:val="double" w:sz="6" w:space="0" w:color="auto"/>
              <w:bottom w:val="double" w:sz="6" w:space="0" w:color="auto"/>
              <w:right w:val="double" w:sz="6" w:space="0" w:color="auto"/>
            </w:tcBorders>
            <w:tcMar>
              <w:top w:w="0" w:type="dxa"/>
              <w:left w:w="108" w:type="dxa"/>
              <w:bottom w:w="0" w:type="dxa"/>
              <w:right w:w="108" w:type="dxa"/>
            </w:tcMar>
            <w:hideMark/>
          </w:tcPr>
          <w:p w14:paraId="4FFDE2B6" w14:textId="77777777" w:rsidR="003556E5" w:rsidRPr="000B21C7" w:rsidRDefault="003556E5" w:rsidP="00C93FDE">
            <w:pPr>
              <w:spacing w:before="100" w:beforeAutospacing="1" w:after="100" w:afterAutospacing="1" w:line="15" w:lineRule="atLeast"/>
              <w:rPr>
                <w:rFonts w:eastAsia="Times New Roman"/>
                <w:szCs w:val="24"/>
              </w:rPr>
            </w:pPr>
            <w:r w:rsidRPr="000B21C7">
              <w:rPr>
                <w:rFonts w:eastAsia="Times New Roman"/>
                <w:bCs/>
                <w:szCs w:val="24"/>
              </w:rPr>
              <w:t>Quote from the text with page number</w:t>
            </w:r>
          </w:p>
        </w:tc>
        <w:tc>
          <w:tcPr>
            <w:tcW w:w="6148" w:type="dxa"/>
            <w:tcBorders>
              <w:top w:val="nil"/>
              <w:left w:val="nil"/>
              <w:bottom w:val="double" w:sz="6" w:space="0" w:color="auto"/>
              <w:right w:val="double" w:sz="6" w:space="0" w:color="auto"/>
            </w:tcBorders>
            <w:tcMar>
              <w:top w:w="0" w:type="dxa"/>
              <w:left w:w="108" w:type="dxa"/>
              <w:bottom w:w="0" w:type="dxa"/>
              <w:right w:w="108" w:type="dxa"/>
            </w:tcMar>
            <w:hideMark/>
          </w:tcPr>
          <w:p w14:paraId="59EF44BF" w14:textId="77777777" w:rsidR="003556E5" w:rsidRPr="000B21C7" w:rsidRDefault="003556E5" w:rsidP="00C93FDE">
            <w:pPr>
              <w:spacing w:before="100" w:beforeAutospacing="1" w:after="100" w:afterAutospacing="1"/>
              <w:rPr>
                <w:rFonts w:eastAsia="Times New Roman"/>
                <w:szCs w:val="24"/>
              </w:rPr>
            </w:pPr>
            <w:r w:rsidRPr="000B21C7">
              <w:rPr>
                <w:rFonts w:eastAsia="Times New Roman"/>
                <w:bCs/>
                <w:szCs w:val="24"/>
              </w:rPr>
              <w:t>Connections</w:t>
            </w:r>
          </w:p>
          <w:p w14:paraId="4B2D2B0D" w14:textId="77777777" w:rsidR="003556E5" w:rsidRPr="000B21C7" w:rsidRDefault="003556E5" w:rsidP="00C93FDE">
            <w:pPr>
              <w:numPr>
                <w:ilvl w:val="0"/>
                <w:numId w:val="1"/>
              </w:numPr>
              <w:spacing w:before="100" w:beforeAutospacing="1" w:after="100" w:afterAutospacing="1"/>
              <w:rPr>
                <w:rFonts w:eastAsia="Times New Roman"/>
                <w:szCs w:val="24"/>
              </w:rPr>
            </w:pPr>
            <w:r w:rsidRPr="000B21C7">
              <w:rPr>
                <w:rFonts w:eastAsia="Times New Roman"/>
                <w:bCs/>
                <w:szCs w:val="24"/>
              </w:rPr>
              <w:t>Text to other text(s)—print, visual, aural</w:t>
            </w:r>
            <w:r w:rsidRPr="000B21C7">
              <w:rPr>
                <w:rFonts w:eastAsia="Times New Roman"/>
                <w:szCs w:val="24"/>
              </w:rPr>
              <w:t xml:space="preserve"> </w:t>
            </w:r>
          </w:p>
          <w:p w14:paraId="1ED97F7F" w14:textId="77777777" w:rsidR="003556E5" w:rsidRPr="000B21C7" w:rsidRDefault="003556E5" w:rsidP="00C93FDE">
            <w:pPr>
              <w:numPr>
                <w:ilvl w:val="0"/>
                <w:numId w:val="1"/>
              </w:numPr>
              <w:spacing w:before="100" w:beforeAutospacing="1" w:after="100" w:afterAutospacing="1"/>
              <w:rPr>
                <w:rFonts w:eastAsia="Times New Roman"/>
                <w:szCs w:val="24"/>
              </w:rPr>
            </w:pPr>
            <w:r w:rsidRPr="000B21C7">
              <w:rPr>
                <w:rFonts w:eastAsia="Times New Roman"/>
                <w:bCs/>
                <w:szCs w:val="24"/>
              </w:rPr>
              <w:t>Text to self</w:t>
            </w:r>
            <w:r w:rsidRPr="000B21C7">
              <w:rPr>
                <w:rFonts w:eastAsia="Times New Roman"/>
                <w:szCs w:val="24"/>
              </w:rPr>
              <w:t xml:space="preserve"> </w:t>
            </w:r>
          </w:p>
          <w:p w14:paraId="18FCE296" w14:textId="77777777" w:rsidR="003556E5" w:rsidRPr="000B21C7" w:rsidRDefault="003556E5" w:rsidP="00C93FDE">
            <w:pPr>
              <w:numPr>
                <w:ilvl w:val="0"/>
                <w:numId w:val="1"/>
              </w:numPr>
              <w:spacing w:before="100" w:beforeAutospacing="1" w:after="100" w:afterAutospacing="1" w:line="15" w:lineRule="atLeast"/>
              <w:rPr>
                <w:rFonts w:eastAsia="Times New Roman"/>
                <w:szCs w:val="24"/>
              </w:rPr>
            </w:pPr>
            <w:r w:rsidRPr="000B21C7">
              <w:rPr>
                <w:rFonts w:eastAsia="Times New Roman"/>
                <w:bCs/>
                <w:szCs w:val="24"/>
              </w:rPr>
              <w:t>Text to world</w:t>
            </w:r>
            <w:r w:rsidRPr="000B21C7">
              <w:rPr>
                <w:rFonts w:eastAsia="Times New Roman"/>
                <w:szCs w:val="24"/>
              </w:rPr>
              <w:t xml:space="preserve"> </w:t>
            </w:r>
          </w:p>
        </w:tc>
      </w:tr>
      <w:tr w:rsidR="003556E5" w:rsidRPr="000B21C7" w14:paraId="61FE3A56" w14:textId="77777777" w:rsidTr="00C93FDE">
        <w:trPr>
          <w:trHeight w:val="765"/>
          <w:jc w:val="center"/>
        </w:trPr>
        <w:tc>
          <w:tcPr>
            <w:tcW w:w="4449" w:type="dxa"/>
            <w:tcBorders>
              <w:top w:val="nil"/>
              <w:left w:val="double" w:sz="6" w:space="0" w:color="auto"/>
              <w:bottom w:val="double" w:sz="6" w:space="0" w:color="auto"/>
              <w:right w:val="double" w:sz="6" w:space="0" w:color="auto"/>
            </w:tcBorders>
            <w:tcMar>
              <w:top w:w="0" w:type="dxa"/>
              <w:left w:w="108" w:type="dxa"/>
              <w:bottom w:w="0" w:type="dxa"/>
              <w:right w:w="108" w:type="dxa"/>
            </w:tcMar>
            <w:hideMark/>
          </w:tcPr>
          <w:p w14:paraId="21702B5A" w14:textId="77777777" w:rsidR="003556E5" w:rsidRPr="000B21C7" w:rsidRDefault="003556E5" w:rsidP="00C93FDE">
            <w:pPr>
              <w:spacing w:before="100" w:beforeAutospacing="1" w:after="100" w:afterAutospacing="1"/>
              <w:rPr>
                <w:rFonts w:eastAsia="Times New Roman"/>
                <w:bCs/>
                <w:szCs w:val="24"/>
              </w:rPr>
            </w:pPr>
            <w:r w:rsidRPr="000B21C7">
              <w:rPr>
                <w:rFonts w:eastAsia="Times New Roman"/>
                <w:bCs/>
                <w:szCs w:val="24"/>
              </w:rPr>
              <w:t>Quote from text with page number</w:t>
            </w:r>
          </w:p>
          <w:p w14:paraId="673BD769" w14:textId="77777777" w:rsidR="003556E5" w:rsidRPr="000B21C7" w:rsidRDefault="003556E5" w:rsidP="00C93FDE">
            <w:pPr>
              <w:spacing w:before="100" w:beforeAutospacing="1" w:after="100" w:afterAutospacing="1"/>
              <w:rPr>
                <w:rFonts w:eastAsia="Times New Roman"/>
                <w:bCs/>
                <w:szCs w:val="24"/>
              </w:rPr>
            </w:pPr>
            <w:r w:rsidRPr="000B21C7">
              <w:rPr>
                <w:rFonts w:eastAsia="Times New Roman"/>
                <w:bCs/>
                <w:szCs w:val="24"/>
              </w:rPr>
              <w:t>EXAMPLE:</w:t>
            </w:r>
          </w:p>
          <w:p w14:paraId="7DC3CE6D" w14:textId="77777777" w:rsidR="003556E5" w:rsidRPr="000B21C7" w:rsidRDefault="003556E5" w:rsidP="00C93FDE">
            <w:pPr>
              <w:spacing w:before="100" w:beforeAutospacing="1" w:after="100" w:afterAutospacing="1"/>
              <w:rPr>
                <w:rFonts w:eastAsia="Times New Roman"/>
                <w:szCs w:val="24"/>
              </w:rPr>
            </w:pPr>
            <w:r w:rsidRPr="000B21C7">
              <w:rPr>
                <w:rFonts w:eastAsia="Times New Roman"/>
                <w:bCs/>
                <w:szCs w:val="24"/>
              </w:rPr>
              <w:t>“</w:t>
            </w:r>
            <w:r>
              <w:rPr>
                <w:rFonts w:eastAsia="Times New Roman"/>
                <w:bCs/>
                <w:szCs w:val="24"/>
              </w:rPr>
              <w:t>We would mock our relatives the moment they were out of our hearing</w:t>
            </w:r>
            <w:proofErr w:type="gramStart"/>
            <w:r>
              <w:rPr>
                <w:rFonts w:eastAsia="Times New Roman"/>
                <w:bCs/>
                <w:szCs w:val="24"/>
              </w:rPr>
              <w:t>. . . .</w:t>
            </w:r>
            <w:proofErr w:type="gramEnd"/>
            <w:r>
              <w:rPr>
                <w:rFonts w:eastAsia="Times New Roman"/>
                <w:bCs/>
                <w:szCs w:val="24"/>
              </w:rPr>
              <w:t xml:space="preserve"> Our relatives had made us feel ‘country,’ and this was our way of regaining pride in ourselves while getting a little revenge in the bargain” (p. 61).</w:t>
            </w:r>
          </w:p>
        </w:tc>
        <w:tc>
          <w:tcPr>
            <w:tcW w:w="6148" w:type="dxa"/>
            <w:tcBorders>
              <w:top w:val="nil"/>
              <w:left w:val="nil"/>
              <w:bottom w:val="double" w:sz="6" w:space="0" w:color="auto"/>
              <w:right w:val="double" w:sz="6" w:space="0" w:color="auto"/>
            </w:tcBorders>
            <w:tcMar>
              <w:top w:w="0" w:type="dxa"/>
              <w:left w:w="108" w:type="dxa"/>
              <w:bottom w:w="0" w:type="dxa"/>
              <w:right w:w="108" w:type="dxa"/>
            </w:tcMar>
            <w:hideMark/>
          </w:tcPr>
          <w:p w14:paraId="5BD33264" w14:textId="77777777" w:rsidR="003556E5" w:rsidRPr="000B21C7" w:rsidRDefault="003556E5" w:rsidP="00C93FDE">
            <w:pPr>
              <w:spacing w:before="100" w:beforeAutospacing="1" w:after="100" w:afterAutospacing="1"/>
              <w:rPr>
                <w:rFonts w:eastAsia="Times New Roman"/>
                <w:bCs/>
                <w:szCs w:val="24"/>
              </w:rPr>
            </w:pPr>
            <w:r w:rsidRPr="000B21C7">
              <w:rPr>
                <w:rFonts w:eastAsia="Times New Roman"/>
                <w:bCs/>
                <w:szCs w:val="24"/>
              </w:rPr>
              <w:t>Significance in relation to piece as a whole; relating part to whole.</w:t>
            </w:r>
          </w:p>
          <w:p w14:paraId="50411DD7" w14:textId="77777777" w:rsidR="003556E5" w:rsidRPr="000B21C7" w:rsidRDefault="003556E5" w:rsidP="00C93FDE">
            <w:pPr>
              <w:spacing w:before="100" w:beforeAutospacing="1" w:after="100" w:afterAutospacing="1"/>
              <w:rPr>
                <w:rFonts w:eastAsia="Times New Roman"/>
                <w:bCs/>
                <w:szCs w:val="24"/>
              </w:rPr>
            </w:pPr>
            <w:proofErr w:type="spellStart"/>
            <w:r>
              <w:rPr>
                <w:rFonts w:eastAsia="Times New Roman"/>
                <w:bCs/>
                <w:szCs w:val="24"/>
              </w:rPr>
              <w:t>Melix</w:t>
            </w:r>
            <w:proofErr w:type="spellEnd"/>
            <w:r>
              <w:rPr>
                <w:rFonts w:eastAsia="Times New Roman"/>
                <w:bCs/>
                <w:szCs w:val="24"/>
              </w:rPr>
              <w:t xml:space="preserve"> cherished her home language by making fun of the outside, foreign language of more distant communities. The relatives are rigid in communicating in proper English and made </w:t>
            </w:r>
            <w:proofErr w:type="spellStart"/>
            <w:r>
              <w:rPr>
                <w:rFonts w:eastAsia="Times New Roman"/>
                <w:bCs/>
                <w:szCs w:val="24"/>
              </w:rPr>
              <w:t>Melix</w:t>
            </w:r>
            <w:proofErr w:type="spellEnd"/>
            <w:r>
              <w:rPr>
                <w:rFonts w:eastAsia="Times New Roman"/>
                <w:bCs/>
                <w:szCs w:val="24"/>
              </w:rPr>
              <w:t xml:space="preserve"> feel bad. This was her way to soothe her wounded pride.</w:t>
            </w:r>
          </w:p>
          <w:p w14:paraId="6D229014" w14:textId="77777777" w:rsidR="003556E5" w:rsidRPr="000B21C7" w:rsidRDefault="003556E5" w:rsidP="00C93FDE">
            <w:pPr>
              <w:spacing w:before="100" w:beforeAutospacing="1" w:after="100" w:afterAutospacing="1"/>
              <w:rPr>
                <w:rFonts w:eastAsia="Times New Roman"/>
                <w:szCs w:val="24"/>
              </w:rPr>
            </w:pPr>
          </w:p>
        </w:tc>
      </w:tr>
    </w:tbl>
    <w:p w14:paraId="7110E4CF" w14:textId="77777777" w:rsidR="003556E5" w:rsidRDefault="003556E5" w:rsidP="003556E5"/>
    <w:p w14:paraId="7BBBBD00" w14:textId="77777777" w:rsidR="003556E5" w:rsidRDefault="003556E5"/>
    <w:sectPr w:rsidR="00355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69B4"/>
    <w:multiLevelType w:val="multilevel"/>
    <w:tmpl w:val="1A429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E5"/>
    <w:rsid w:val="003556E5"/>
    <w:rsid w:val="009D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64F3"/>
  <w15:chartTrackingRefBased/>
  <w15:docId w15:val="{7EFC7FBC-73F4-4CFE-9DFF-375DE2B3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E5"/>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cp:lastPrinted>2022-02-01T12:56:00Z</cp:lastPrinted>
  <dcterms:created xsi:type="dcterms:W3CDTF">2022-02-01T12:50:00Z</dcterms:created>
  <dcterms:modified xsi:type="dcterms:W3CDTF">2022-02-01T12:58:00Z</dcterms:modified>
</cp:coreProperties>
</file>